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32004">
      <w:pPr>
        <w:spacing w:line="57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14:paraId="38999080">
      <w:pPr>
        <w:spacing w:line="570" w:lineRule="exact"/>
        <w:jc w:val="center"/>
        <w:rPr>
          <w:rFonts w:hint="eastAsia" w:ascii="方正大标宋简体" w:hAnsi="方正大标宋简体" w:eastAsia="方正大标宋简体" w:cs="方正大标宋简体"/>
          <w:sz w:val="44"/>
          <w:szCs w:val="44"/>
          <w:highlight w:val="none"/>
          <w:lang w:val="en-US" w:eastAsia="zh-CN"/>
        </w:rPr>
      </w:pPr>
      <w:r>
        <w:rPr>
          <w:rFonts w:hint="eastAsia" w:ascii="方正大标宋简体" w:hAnsi="方正大标宋简体" w:eastAsia="方正大标宋简体" w:cs="方正大标宋简体"/>
          <w:sz w:val="44"/>
          <w:szCs w:val="44"/>
          <w:highlight w:val="none"/>
        </w:rPr>
        <w:t>河南省医学科学院</w:t>
      </w:r>
      <w:r>
        <w:rPr>
          <w:rFonts w:hint="eastAsia" w:ascii="方正大标宋简体" w:hAnsi="方正大标宋简体" w:eastAsia="方正大标宋简体" w:cs="方正大标宋简体"/>
          <w:sz w:val="44"/>
          <w:szCs w:val="44"/>
          <w:highlight w:val="none"/>
          <w:lang w:val="en-US" w:eastAsia="zh-CN"/>
        </w:rPr>
        <w:t>眼科研究所伏羲慧眼云平台团队</w:t>
      </w:r>
    </w:p>
    <w:p w14:paraId="58E4AA10">
      <w:pPr>
        <w:spacing w:line="570" w:lineRule="exact"/>
        <w:jc w:val="center"/>
        <w:rPr>
          <w:rFonts w:hint="eastAsia" w:ascii="方正大标宋简体" w:hAnsi="方正大标宋简体" w:eastAsia="方正大标宋简体" w:cs="方正大标宋简体"/>
          <w:sz w:val="44"/>
          <w:szCs w:val="44"/>
          <w:highlight w:val="none"/>
        </w:rPr>
      </w:pPr>
      <w:r>
        <w:rPr>
          <w:rFonts w:hint="eastAsia" w:ascii="方正大标宋简体" w:hAnsi="方正大标宋简体" w:eastAsia="方正大标宋简体" w:cs="方正大标宋简体"/>
          <w:sz w:val="44"/>
          <w:szCs w:val="44"/>
          <w:highlight w:val="none"/>
        </w:rPr>
        <w:t>202</w:t>
      </w:r>
      <w:r>
        <w:rPr>
          <w:rFonts w:hint="eastAsia" w:ascii="方正大标宋简体" w:hAnsi="方正大标宋简体" w:eastAsia="方正大标宋简体" w:cs="方正大标宋简体"/>
          <w:sz w:val="44"/>
          <w:szCs w:val="44"/>
          <w:highlight w:val="none"/>
          <w:lang w:val="en-US" w:eastAsia="zh-CN"/>
        </w:rPr>
        <w:t>5</w:t>
      </w:r>
      <w:r>
        <w:rPr>
          <w:rFonts w:hint="eastAsia" w:ascii="方正大标宋简体" w:hAnsi="方正大标宋简体" w:eastAsia="方正大标宋简体" w:cs="方正大标宋简体"/>
          <w:sz w:val="44"/>
          <w:szCs w:val="44"/>
          <w:highlight w:val="none"/>
        </w:rPr>
        <w:t>年</w:t>
      </w:r>
      <w:r>
        <w:rPr>
          <w:rFonts w:hint="eastAsia" w:ascii="方正大标宋简体" w:hAnsi="方正大标宋简体" w:eastAsia="方正大标宋简体" w:cs="方正大标宋简体"/>
          <w:sz w:val="44"/>
          <w:szCs w:val="44"/>
          <w:highlight w:val="none"/>
          <w:lang w:val="en-US" w:eastAsia="zh-CN"/>
        </w:rPr>
        <w:t>公开</w:t>
      </w:r>
      <w:r>
        <w:rPr>
          <w:rFonts w:hint="eastAsia" w:ascii="方正大标宋简体" w:hAnsi="方正大标宋简体" w:eastAsia="方正大标宋简体" w:cs="方正大标宋简体"/>
          <w:sz w:val="44"/>
          <w:szCs w:val="44"/>
          <w:highlight w:val="none"/>
        </w:rPr>
        <w:t>招聘</w:t>
      </w:r>
      <w:r>
        <w:rPr>
          <w:rFonts w:hint="eastAsia" w:ascii="方正大标宋简体" w:hAnsi="方正大标宋简体" w:eastAsia="方正大标宋简体" w:cs="方正大标宋简体"/>
          <w:sz w:val="44"/>
          <w:szCs w:val="44"/>
          <w:highlight w:val="none"/>
          <w:lang w:val="en-US" w:eastAsia="zh-CN"/>
        </w:rPr>
        <w:t>人才</w:t>
      </w:r>
      <w:r>
        <w:rPr>
          <w:rFonts w:hint="eastAsia" w:ascii="方正大标宋简体" w:hAnsi="方正大标宋简体" w:eastAsia="方正大标宋简体" w:cs="方正大标宋简体"/>
          <w:sz w:val="44"/>
          <w:szCs w:val="44"/>
          <w:highlight w:val="none"/>
        </w:rPr>
        <w:t>需求表</w:t>
      </w:r>
    </w:p>
    <w:tbl>
      <w:tblPr>
        <w:tblStyle w:val="2"/>
        <w:tblpPr w:leftFromText="180" w:rightFromText="180" w:vertAnchor="text" w:horzAnchor="page" w:tblpXSpec="center" w:tblpY="515"/>
        <w:tblOverlap w:val="never"/>
        <w:tblW w:w="5305" w:type="pct"/>
        <w:tblInd w:w="-333" w:type="dxa"/>
        <w:tblLayout w:type="fixed"/>
        <w:tblCellMar>
          <w:top w:w="0" w:type="dxa"/>
          <w:left w:w="108" w:type="dxa"/>
          <w:bottom w:w="0" w:type="dxa"/>
          <w:right w:w="108" w:type="dxa"/>
        </w:tblCellMar>
      </w:tblPr>
      <w:tblGrid>
        <w:gridCol w:w="715"/>
        <w:gridCol w:w="1509"/>
        <w:gridCol w:w="859"/>
        <w:gridCol w:w="1335"/>
        <w:gridCol w:w="5325"/>
        <w:gridCol w:w="5296"/>
      </w:tblGrid>
      <w:tr w14:paraId="2525059C">
        <w:tblPrEx>
          <w:tblCellMar>
            <w:top w:w="0" w:type="dxa"/>
            <w:left w:w="108" w:type="dxa"/>
            <w:bottom w:w="0" w:type="dxa"/>
            <w:right w:w="108" w:type="dxa"/>
          </w:tblCellMar>
        </w:tblPrEx>
        <w:trPr>
          <w:trHeight w:val="58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14:paraId="4838FC4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kern w:val="0"/>
                <w:sz w:val="24"/>
                <w:highlight w:val="none"/>
                <w:lang w:val="en-US" w:eastAsia="zh-CN"/>
              </w:rPr>
              <w:t>序号</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9CF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0"/>
                <w:sz w:val="24"/>
                <w:highlight w:val="none"/>
              </w:rPr>
              <w:t>岗位名称</w:t>
            </w:r>
          </w:p>
        </w:tc>
        <w:tc>
          <w:tcPr>
            <w:tcW w:w="285" w:type="pct"/>
            <w:tcBorders>
              <w:top w:val="single" w:color="000000" w:sz="4" w:space="0"/>
              <w:left w:val="single" w:color="000000" w:sz="4" w:space="0"/>
              <w:bottom w:val="single" w:color="000000" w:sz="4" w:space="0"/>
              <w:right w:val="single" w:color="000000" w:sz="4" w:space="0"/>
            </w:tcBorders>
            <w:vAlign w:val="center"/>
          </w:tcPr>
          <w:p w14:paraId="4D33B7F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center"/>
              <w:rPr>
                <w:rFonts w:hint="eastAsia" w:ascii="仿宋_GB2312" w:hAnsi="仿宋_GB2312" w:eastAsia="仿宋_GB2312" w:cs="仿宋_GB2312"/>
                <w:b/>
                <w:bCs/>
                <w:kern w:val="0"/>
                <w:sz w:val="24"/>
                <w:highlight w:val="none"/>
              </w:rPr>
            </w:pPr>
            <w:r>
              <w:rPr>
                <w:rFonts w:hint="eastAsia" w:ascii="仿宋_GB2312" w:hAnsi="仿宋_GB2312" w:eastAsia="仿宋_GB2312" w:cs="仿宋_GB2312"/>
                <w:b/>
                <w:bCs/>
                <w:kern w:val="0"/>
                <w:sz w:val="22"/>
                <w:szCs w:val="22"/>
                <w:highlight w:val="none"/>
              </w:rPr>
              <w:t>需求人数</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5426509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kern w:val="0"/>
                <w:sz w:val="24"/>
                <w:highlight w:val="none"/>
              </w:rPr>
              <w:t>学历</w:t>
            </w:r>
          </w:p>
        </w:tc>
        <w:tc>
          <w:tcPr>
            <w:tcW w:w="1770" w:type="pct"/>
            <w:tcBorders>
              <w:top w:val="single" w:color="000000" w:sz="4" w:space="0"/>
              <w:left w:val="single" w:color="000000" w:sz="4" w:space="0"/>
              <w:bottom w:val="single" w:color="000000" w:sz="4" w:space="0"/>
              <w:right w:val="single" w:color="000000" w:sz="4" w:space="0"/>
            </w:tcBorders>
            <w:vAlign w:val="center"/>
          </w:tcPr>
          <w:p w14:paraId="5CEE3EA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center"/>
              <w:rPr>
                <w:rFonts w:hint="eastAsia" w:ascii="仿宋_GB2312" w:hAnsi="仿宋_GB2312" w:eastAsia="仿宋_GB2312" w:cs="仿宋_GB2312"/>
                <w:b/>
                <w:bCs/>
                <w:kern w:val="0"/>
                <w:sz w:val="24"/>
                <w:highlight w:val="none"/>
              </w:rPr>
            </w:pPr>
            <w:r>
              <w:rPr>
                <w:rFonts w:hint="eastAsia" w:ascii="仿宋_GB2312" w:hAnsi="仿宋_GB2312" w:eastAsia="仿宋_GB2312" w:cs="仿宋_GB2312"/>
                <w:b/>
                <w:bCs/>
                <w:kern w:val="0"/>
                <w:sz w:val="24"/>
                <w:highlight w:val="none"/>
              </w:rPr>
              <w:t>岗位职责</w:t>
            </w:r>
          </w:p>
        </w:tc>
        <w:tc>
          <w:tcPr>
            <w:tcW w:w="1760" w:type="pct"/>
            <w:tcBorders>
              <w:top w:val="single" w:color="000000" w:sz="4" w:space="0"/>
              <w:left w:val="single" w:color="000000" w:sz="4" w:space="0"/>
              <w:bottom w:val="single" w:color="000000" w:sz="4" w:space="0"/>
              <w:right w:val="single" w:color="000000" w:sz="4" w:space="0"/>
            </w:tcBorders>
            <w:noWrap/>
            <w:vAlign w:val="center"/>
          </w:tcPr>
          <w:p w14:paraId="3AE6039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jc w:val="center"/>
              <w:textAlignment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kern w:val="0"/>
                <w:sz w:val="24"/>
                <w:highlight w:val="none"/>
              </w:rPr>
              <w:t>岗位要求</w:t>
            </w:r>
          </w:p>
        </w:tc>
      </w:tr>
      <w:tr w14:paraId="09847852">
        <w:tblPrEx>
          <w:tblCellMar>
            <w:top w:w="0" w:type="dxa"/>
            <w:left w:w="108" w:type="dxa"/>
            <w:bottom w:w="0" w:type="dxa"/>
            <w:right w:w="108" w:type="dxa"/>
          </w:tblCellMar>
        </w:tblPrEx>
        <w:trPr>
          <w:trHeight w:val="711"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14:paraId="64E07E85">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A4F0">
            <w:pPr>
              <w:keepNext w:val="0"/>
              <w:keepLines w:val="0"/>
              <w:suppressLineNumbers w:val="0"/>
              <w:spacing w:before="0" w:beforeAutospacing="0" w:after="160" w:afterAutospacing="0" w:line="240" w:lineRule="auto"/>
              <w:ind w:left="0" w:right="0"/>
              <w:jc w:val="center"/>
              <w:textAlignment w:val="center"/>
              <w:rPr>
                <w:rFonts w:hint="eastAsia" w:ascii="仿宋_GB2312" w:hAnsi="仿宋_GB2312" w:eastAsia="仿宋_GB2312" w:cs="仿宋_GB2312"/>
                <w:kern w:val="0"/>
                <w:sz w:val="24"/>
                <w:highlight w:val="yellow"/>
                <w:lang w:val="en-US" w:eastAsia="zh-CN"/>
              </w:rPr>
            </w:pPr>
            <w:r>
              <w:rPr>
                <w:rFonts w:hint="eastAsia" w:ascii="仿宋_GB2312" w:hAnsi="仿宋_GB2312" w:eastAsia="仿宋_GB2312" w:cs="仿宋_GB2312"/>
                <w:kern w:val="0"/>
                <w:sz w:val="24"/>
                <w:highlight w:val="none"/>
                <w:lang w:val="en-US" w:eastAsia="zh-CN"/>
              </w:rPr>
              <w:t>科研助理（人工智能）</w:t>
            </w:r>
          </w:p>
        </w:tc>
        <w:tc>
          <w:tcPr>
            <w:tcW w:w="285" w:type="pct"/>
            <w:tcBorders>
              <w:top w:val="single" w:color="000000" w:sz="4" w:space="0"/>
              <w:left w:val="single" w:color="000000" w:sz="4" w:space="0"/>
              <w:bottom w:val="single" w:color="000000" w:sz="4" w:space="0"/>
              <w:right w:val="single" w:color="000000" w:sz="4" w:space="0"/>
            </w:tcBorders>
            <w:vAlign w:val="center"/>
          </w:tcPr>
          <w:p w14:paraId="7999213D">
            <w:pPr>
              <w:keepNext w:val="0"/>
              <w:keepLines w:val="0"/>
              <w:suppressLineNumbers w:val="0"/>
              <w:spacing w:before="0" w:beforeAutospacing="0" w:after="160" w:afterAutospacing="0" w:line="240"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7588B7B">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硕士研究生及以上学历</w:t>
            </w:r>
          </w:p>
        </w:tc>
        <w:tc>
          <w:tcPr>
            <w:tcW w:w="1770" w:type="pct"/>
            <w:tcBorders>
              <w:top w:val="single" w:color="000000" w:sz="4" w:space="0"/>
              <w:left w:val="single" w:color="000000" w:sz="4" w:space="0"/>
              <w:bottom w:val="single" w:color="000000" w:sz="4" w:space="0"/>
              <w:right w:val="single" w:color="000000" w:sz="4" w:space="0"/>
            </w:tcBorders>
            <w:vAlign w:val="center"/>
          </w:tcPr>
          <w:p w14:paraId="262422D9">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1.参与医疗领域垂类大模型的算法研发，例如眼科图像大模型、多模态医疗诊断模型</w:t>
            </w:r>
            <w:bookmarkStart w:id="0" w:name="_GoBack"/>
            <w:bookmarkEnd w:id="0"/>
            <w:r>
              <w:rPr>
                <w:rFonts w:hint="eastAsia" w:ascii="仿宋_GB2312" w:hAnsi="仿宋_GB2312" w:eastAsia="仿宋_GB2312" w:cs="仿宋_GB2312"/>
                <w:kern w:val="0"/>
                <w:sz w:val="24"/>
                <w:highlight w:val="none"/>
                <w:lang w:val="en-US" w:eastAsia="zh-CN"/>
              </w:rPr>
              <w:t>等，提升模型在疾病筛查、影像分析、报告生成等场景的泛化能力。</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 探索大语言模型（LLM）与医疗多模态数据（如影像+文本报告）的结合应用，开发辅助诊断、临床决策支持等创新功能。</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3.设计医疗影像数据（如CT/MRI/超声/眼底图像）的预处理、标注及增强方案，构建高质量垂类训练数据集。</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4.推动科研成果转化，参与论文撰写、专利申报及与医疗机构合作的临床验证项目；协助PI完成与教学和科研相关的任务及培训管理科研助理和研究生。</w:t>
            </w:r>
          </w:p>
        </w:tc>
        <w:tc>
          <w:tcPr>
            <w:tcW w:w="1760" w:type="pct"/>
            <w:tcBorders>
              <w:top w:val="single" w:color="000000" w:sz="4" w:space="0"/>
              <w:left w:val="single" w:color="000000" w:sz="4" w:space="0"/>
              <w:bottom w:val="single" w:color="000000" w:sz="4" w:space="0"/>
              <w:right w:val="single" w:color="000000" w:sz="4" w:space="0"/>
            </w:tcBorders>
            <w:noWrap/>
            <w:vAlign w:val="center"/>
          </w:tcPr>
          <w:p w14:paraId="7B38EA92">
            <w:pPr>
              <w:keepNext w:val="0"/>
              <w:keepLines w:val="0"/>
              <w:suppressLineNumbers w:val="0"/>
              <w:spacing w:before="0" w:beforeAutospacing="0" w:after="160" w:afterAutospacing="0" w:line="240" w:lineRule="auto"/>
              <w:ind w:left="0" w:right="0"/>
              <w:jc w:val="left"/>
              <w:textAlignment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1.专业要求：人工智能、计算机科学、生物医学工程、数学与统计等相关专业。</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2.年龄要求：出生日期需在1990年1月1日（含）之后，特别优秀者可放宽。</w:t>
            </w:r>
          </w:p>
          <w:p w14:paraId="761A7EA5">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3.精通Python，熟练使用PyTorch/TensorFlow等深度学习框架。</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4.深入理解大模型技术（如Transformer、Diffusion Model、CLIP/ViT等），有图像或多模态模型调优经验。</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5.参与过大型模型训练（分布式训练、参数高效微调）或开源项目贡献者优先。</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6.英语CET4级425分以上，能独立撰写学术论文与技术报告。</w:t>
            </w:r>
          </w:p>
        </w:tc>
      </w:tr>
      <w:tr w14:paraId="36ED5ED0">
        <w:tblPrEx>
          <w:tblCellMar>
            <w:top w:w="0" w:type="dxa"/>
            <w:left w:w="108" w:type="dxa"/>
            <w:bottom w:w="0" w:type="dxa"/>
            <w:right w:w="108" w:type="dxa"/>
          </w:tblCellMar>
        </w:tblPrEx>
        <w:trPr>
          <w:trHeight w:val="48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4E3D">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99C8">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科研助理（ToB开发工程师）</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394F">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D4AE">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硕士研究生及以上学历</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A684B">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1.负责医院端嵌入式设备与电脑/服务器的通信驱动开发,确保设备插入后实现稳定数据传输。</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2.对接医院信息化系统（如HIS/PACS），完成设备与医院现有硬件/软件的集成适配。</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3.优化嵌入式设备与电脑端的数据交互协议，保障图像数据采集的实时性与安全性。开发高效模型压缩算法及高效边缘推理算法。开发自动算法协助清洗和整理异质医疗多模态数据。</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4.配合硬件团队调试设备底层通信模块，解决兼容性问题。</w:t>
            </w:r>
          </w:p>
        </w:tc>
        <w:tc>
          <w:tcPr>
            <w:tcW w:w="1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5599">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1.专业要求：计算机科学、电子工程、自动化、通信工程等相关专业。</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2.年龄要求：出生日期需在1990年1月1日（含）之后，特别优秀者可放宽。</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3.精通C/C++/Python，熟悉嵌入式系统开发（如Windos/Linux驱动开发）。</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4.熟悉USB/蓝牙/TypeC口通信协议，有硬件接口开发经验。</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5.有3年以上嵌入式开发经验或医疗设备或工业硬件对接项目经验者优先。</w:t>
            </w:r>
          </w:p>
        </w:tc>
      </w:tr>
      <w:tr w14:paraId="1C2390C3">
        <w:tblPrEx>
          <w:tblCellMar>
            <w:top w:w="0" w:type="dxa"/>
            <w:left w:w="108" w:type="dxa"/>
            <w:bottom w:w="0" w:type="dxa"/>
            <w:right w:w="108" w:type="dxa"/>
          </w:tblCellMar>
        </w:tblPrEx>
        <w:trPr>
          <w:trHeight w:val="31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CA0E">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6B38">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科研助理（ToC开发工程师）</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00A9">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147A">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硕士研究生及以上学历</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BAF3">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1.开发手机端外接光学设备的通信模块，实现设备与APP/小程序的数据交互。</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2.设计手机端图像采集逻辑，优化低功耗光学传感器与手机摄像头的协同工作。</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3.配合前端开发团队完成图像上传等联调工作。</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4.适配主流手机型号（Android/iOS/HarmonyOS），解决兼容性与性能问题。</w:t>
            </w:r>
          </w:p>
        </w:tc>
        <w:tc>
          <w:tcPr>
            <w:tcW w:w="1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5089">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1.专业要求：光学工程、光电信息、计算机科学、电子工程等相关专业。</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2.年龄要求：出生日期需在1990年1月1日（含）之后，特别优秀者可放宽。</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3.熟悉光学传感器原理，有手机摄像头/外接设备开发经验优先。</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4.精通Android/iOS/HarmonyOS原生开发或跨平台框架（Flutter/React Native）开发。</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5.了解图像处理基础（如OpenCV）及网络通信协议（HTTP/WebSocket）。</w:t>
            </w:r>
          </w:p>
        </w:tc>
      </w:tr>
      <w:tr w14:paraId="306C32B8">
        <w:tblPrEx>
          <w:tblCellMar>
            <w:top w:w="0" w:type="dxa"/>
            <w:left w:w="108" w:type="dxa"/>
            <w:bottom w:w="0" w:type="dxa"/>
            <w:right w:w="108" w:type="dxa"/>
          </w:tblCellMar>
        </w:tblPrEx>
        <w:trPr>
          <w:trHeight w:val="191"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EB0A">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5C2B">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科研助理（软件开发工程师）</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2530">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D927">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硕士研究生及以上学历（有2年以上相关从业经历者，放开到本科学历及以上）</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DAE6">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1.负责云平台等前端产品功能开发，将需求转化为合理有效的技术实现方案，配合产品UI优化用户体验。</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配合后端开发组完成联调工作，配合测试组和产品组进行验收测试工作，也可自主完成测试，按时参加产品需求分析会和小组讨论，及时反馈开发进度和测试跟进问题，对功能的交付时间和质量负责，善于发现问题并给出解决方案。</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3.与项目组良好沟通，协作促进项目如期上线。</w:t>
            </w:r>
          </w:p>
        </w:tc>
        <w:tc>
          <w:tcPr>
            <w:tcW w:w="1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6FE0">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1.专业不限，生物或医学专业优先。</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2.年龄要求：出生日期需在1990年1月1日（含）之后，特别优秀者可放宽。</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3.具备扎实的 JavaScrpt、HTML和CSS 知识。理解 Web 标准，对可用性、浏览器原理及网站性能优化等方面的知识有较深的了解。</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4.熟悉面向对象的javascript开发，有前端MVVM或MVC框架理念，熟练掌握React/Vue/Angular等至少一种框架或类库的使用，优先React。</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5.熟悉前端模块化、组件化及MVC等开发思想，有良好的实际项目经验。</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6.了解低代码开发、canvas图形开发、AI智能应用等相关知识。</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7.熟悉git多人协作开发方式，有良好的编码习惯，遵循团队开发协作规范与开发标准。</w:t>
            </w:r>
          </w:p>
        </w:tc>
      </w:tr>
      <w:tr w14:paraId="484C3C78">
        <w:tblPrEx>
          <w:tblCellMar>
            <w:top w:w="0" w:type="dxa"/>
            <w:left w:w="108" w:type="dxa"/>
            <w:bottom w:w="0" w:type="dxa"/>
            <w:right w:w="108" w:type="dxa"/>
          </w:tblCellMar>
        </w:tblPrEx>
        <w:trPr>
          <w:trHeight w:val="1636"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747593DF">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13BE">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科研助理（生物信息学）</w:t>
            </w:r>
          </w:p>
        </w:tc>
        <w:tc>
          <w:tcPr>
            <w:tcW w:w="285" w:type="pct"/>
            <w:tcBorders>
              <w:top w:val="single" w:color="000000" w:sz="4" w:space="0"/>
              <w:left w:val="single" w:color="000000" w:sz="4" w:space="0"/>
              <w:bottom w:val="single" w:color="000000" w:sz="4" w:space="0"/>
              <w:right w:val="single" w:color="000000" w:sz="4" w:space="0"/>
            </w:tcBorders>
            <w:vAlign w:val="center"/>
          </w:tcPr>
          <w:p w14:paraId="5DB6C493">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w:t>
            </w:r>
          </w:p>
        </w:tc>
        <w:tc>
          <w:tcPr>
            <w:tcW w:w="443" w:type="pct"/>
            <w:tcBorders>
              <w:top w:val="single" w:color="000000" w:sz="4" w:space="0"/>
              <w:left w:val="single" w:color="000000" w:sz="4" w:space="0"/>
              <w:bottom w:val="single" w:color="000000" w:sz="4" w:space="0"/>
              <w:right w:val="single" w:color="000000" w:sz="4" w:space="0"/>
            </w:tcBorders>
            <w:vAlign w:val="center"/>
          </w:tcPr>
          <w:p w14:paraId="47A03144">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硕士研究生及以上学历</w:t>
            </w:r>
          </w:p>
        </w:tc>
        <w:tc>
          <w:tcPr>
            <w:tcW w:w="1770" w:type="pct"/>
            <w:tcBorders>
              <w:top w:val="single" w:color="000000" w:sz="4" w:space="0"/>
              <w:left w:val="single" w:color="000000" w:sz="4" w:space="0"/>
              <w:bottom w:val="single" w:color="000000" w:sz="4" w:space="0"/>
              <w:right w:val="single" w:color="000000" w:sz="4" w:space="0"/>
            </w:tcBorders>
            <w:vAlign w:val="center"/>
          </w:tcPr>
          <w:p w14:paraId="678ECCD3">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1.协助课题组完成生物信息学课题设计与开展。</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2.负责生物医学的多组学数据清洗、可视化及结果解读。</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3.负责高通量多组学数据（如RNA-seq、单细胞测序等）的整合分析，搭建相关的生信分析流程。</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4.基于机器学习、深度学习或统计学等方法，开发生物信息学相关算法工具。</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5.参与论文撰写（方法描述、数据分析、图表制作等），协助投稿及修稿工作。</w:t>
            </w:r>
          </w:p>
        </w:tc>
        <w:tc>
          <w:tcPr>
            <w:tcW w:w="1760" w:type="pct"/>
            <w:tcBorders>
              <w:top w:val="single" w:color="000000" w:sz="4" w:space="0"/>
              <w:left w:val="single" w:color="000000" w:sz="4" w:space="0"/>
              <w:bottom w:val="single" w:color="000000" w:sz="4" w:space="0"/>
              <w:right w:val="single" w:color="000000" w:sz="4" w:space="0"/>
            </w:tcBorders>
            <w:vAlign w:val="center"/>
          </w:tcPr>
          <w:p w14:paraId="087D41A6">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1.专业要求：生物信息学、生物统计学、医学信息学等相关专业。</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2.年龄要求：出生日期需在1990年1月1日（含）之后，特别优秀者可放宽。</w:t>
            </w:r>
          </w:p>
        </w:tc>
      </w:tr>
      <w:tr w14:paraId="25D82B1A">
        <w:tblPrEx>
          <w:tblCellMar>
            <w:top w:w="0" w:type="dxa"/>
            <w:left w:w="108" w:type="dxa"/>
            <w:bottom w:w="0" w:type="dxa"/>
            <w:right w:w="108" w:type="dxa"/>
          </w:tblCellMar>
        </w:tblPrEx>
        <w:trPr>
          <w:trHeight w:val="2786"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33C0">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62AA">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科研助理（云平台推广）</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B9CD">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7565">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硕士研究生及以上学历</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646D">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1.负责面向各级医疗机构的人工智能云平台推广。</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2.定期拜访医疗机构客户，开展产品演示、技术讲解及合作洽谈，建立长期合作关系。</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3.制作标准化培训材料，制定和落地培训方案并收集反馈。</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4.组织和参与各类线下会议或展会，负责前期筹备和现场调度。</w:t>
            </w:r>
          </w:p>
        </w:tc>
        <w:tc>
          <w:tcPr>
            <w:tcW w:w="1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ADE8">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1.专业不限，生物或医学专业优先。</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2.年龄要求：出生日期需在1990年1月1日（含）之后，特别优秀者可放宽。</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3.2年以上ToB医疗信息化产品推广经验，或高校、医院、科研机构工作经验.</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4.具备线下活动策划及执行经验，擅长现场管理和应急处理。</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5.可适应一定频次出差，可独立驾驶车辆。</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6.熟练运用各类专业办公软件。</w:t>
            </w:r>
          </w:p>
        </w:tc>
      </w:tr>
      <w:tr w14:paraId="44AF02F6">
        <w:tblPrEx>
          <w:tblCellMar>
            <w:top w:w="0" w:type="dxa"/>
            <w:left w:w="108" w:type="dxa"/>
            <w:bottom w:w="0" w:type="dxa"/>
            <w:right w:w="108" w:type="dxa"/>
          </w:tblCellMar>
        </w:tblPrEx>
        <w:trPr>
          <w:trHeight w:val="289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6D42">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B461">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科研辅助人员（综合管理）</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48C8">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8FCA">
            <w:pPr>
              <w:keepNext w:val="0"/>
              <w:keepLines w:val="0"/>
              <w:suppressLineNumbers w:val="0"/>
              <w:spacing w:before="0" w:beforeAutospacing="0" w:after="160" w:afterAutospacing="0" w:line="276"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本科及以上学历</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34DE">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1.负责云平台团队运行各个方面事务管理及日常行政事务的组织与协调。</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2.日常文字材料起草等文案工作。</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3.参与人才库建设和人员管理制度优化。</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4.各类设备、耗材、办公用品等的招标、采购、物资盘点。</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5.协助处理知识产权申请、维护、续展等流程性工作，跟踪申报进度。</w:t>
            </w:r>
          </w:p>
        </w:tc>
        <w:tc>
          <w:tcPr>
            <w:tcW w:w="1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8DBE">
            <w:pPr>
              <w:keepNext w:val="0"/>
              <w:keepLines w:val="0"/>
              <w:suppressLineNumbers w:val="0"/>
              <w:spacing w:before="0" w:beforeAutospacing="0" w:after="160" w:afterAutospacing="0" w:line="240" w:lineRule="auto"/>
              <w:ind w:left="0" w:right="0"/>
              <w:jc w:val="left"/>
              <w:textAlignment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 专业要求：中文、心理学、人力资源、行政管理、知识产权、法学等相关专业。</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2.年龄要求：出生日期需在1990年1月1日（含）之后，特别优秀者可放宽。</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3.熟练使用各类专业办公软件。</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4.有相关工作经验者优先。</w:t>
            </w:r>
          </w:p>
        </w:tc>
      </w:tr>
      <w:tr w14:paraId="23D7FC89">
        <w:tblPrEx>
          <w:tblCellMar>
            <w:top w:w="0" w:type="dxa"/>
            <w:left w:w="108" w:type="dxa"/>
            <w:bottom w:w="0" w:type="dxa"/>
            <w:right w:w="108" w:type="dxa"/>
          </w:tblCellMar>
        </w:tblPrEx>
        <w:trPr>
          <w:trHeight w:val="2708"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3FD7">
            <w:pPr>
              <w:keepNext w:val="0"/>
              <w:keepLines w:val="0"/>
              <w:suppressLineNumbers w:val="0"/>
              <w:spacing w:before="0" w:beforeAutospacing="0" w:after="160" w:afterAutospacing="0" w:line="276" w:lineRule="auto"/>
              <w:ind w:left="0" w:right="0"/>
              <w:jc w:val="center"/>
              <w:textAlignment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C23E">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科研辅助人员（财务）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20F2">
            <w:pPr>
              <w:keepNext w:val="0"/>
              <w:keepLines w:val="0"/>
              <w:suppressLineNumbers w:val="0"/>
              <w:spacing w:before="0" w:beforeAutospacing="0" w:after="160" w:afterAutospacing="0" w:line="276" w:lineRule="auto"/>
              <w:ind w:left="0" w:right="0"/>
              <w:jc w:val="center"/>
              <w:textAlignment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A5F8">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本科及以上学历</w:t>
            </w: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B998">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 负责日常财务核算、会计凭证、出纳、税务工作的审核；</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2. 负责财务报表及财务预算的编制；</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 负责资金、资产的管理工作；</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 协助部门负责人完成其他财务相关工作。</w:t>
            </w:r>
          </w:p>
        </w:tc>
        <w:tc>
          <w:tcPr>
            <w:tcW w:w="1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107B">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 专业要求：财务、会计、金融等相关专业；</w:t>
            </w:r>
          </w:p>
          <w:p w14:paraId="6A2DE8EA">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2. 年龄要求：出生日期需在1990年1月1日（含）之后，特别优秀者可放宽。</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3. 有高等院校、事业单位、科研机构财务工作经验者优先；</w:t>
            </w:r>
            <w:r>
              <w:rPr>
                <w:rFonts w:hint="eastAsia" w:ascii="仿宋_GB2312" w:hAnsi="仿宋_GB2312" w:eastAsia="仿宋_GB2312" w:cs="仿宋_GB2312"/>
                <w:kern w:val="0"/>
                <w:sz w:val="24"/>
                <w:highlight w:val="none"/>
                <w:lang w:val="en-US" w:eastAsia="zh-CN"/>
              </w:rPr>
              <w:br w:type="textWrapping"/>
            </w:r>
            <w:r>
              <w:rPr>
                <w:rFonts w:hint="eastAsia" w:ascii="仿宋_GB2312" w:hAnsi="仿宋_GB2312" w:eastAsia="仿宋_GB2312" w:cs="仿宋_GB2312"/>
                <w:kern w:val="0"/>
                <w:sz w:val="24"/>
                <w:highlight w:val="none"/>
                <w:lang w:val="en-US" w:eastAsia="zh-CN"/>
              </w:rPr>
              <w:t>4. 熟练使用财务软件及办公软件，具备良好的财务分析能力。</w:t>
            </w:r>
          </w:p>
        </w:tc>
      </w:tr>
      <w:tr w14:paraId="4C3C14A2">
        <w:tblPrEx>
          <w:tblCellMar>
            <w:top w:w="0" w:type="dxa"/>
            <w:left w:w="108" w:type="dxa"/>
            <w:bottom w:w="0" w:type="dxa"/>
            <w:right w:w="108" w:type="dxa"/>
          </w:tblCellMar>
        </w:tblPrEx>
        <w:trPr>
          <w:trHeight w:val="464"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E3ED">
            <w:pPr>
              <w:keepNext w:val="0"/>
              <w:keepLines w:val="0"/>
              <w:suppressLineNumbers w:val="0"/>
              <w:spacing w:before="0" w:beforeAutospacing="0" w:after="160" w:afterAutospacing="0" w:line="276" w:lineRule="auto"/>
              <w:ind w:left="0" w:right="0"/>
              <w:jc w:val="center"/>
              <w:textAlignment w:val="center"/>
              <w:rPr>
                <w:rFonts w:hint="eastAsia" w:ascii="仿宋_GB2312" w:hAnsi="仿宋_GB2312" w:eastAsia="仿宋_GB2312" w:cs="仿宋_GB2312"/>
                <w:kern w:val="0"/>
                <w:sz w:val="24"/>
                <w:highlight w:val="none"/>
                <w:lang w:val="en-US" w:eastAsia="zh-CN"/>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4184">
            <w:pPr>
              <w:keepNext w:val="0"/>
              <w:keepLines w:val="0"/>
              <w:suppressLineNumbers w:val="0"/>
              <w:spacing w:before="0" w:beforeAutospacing="0" w:after="160" w:afterAutospacing="0" w:line="276" w:lineRule="auto"/>
              <w:ind w:left="0" w:right="0"/>
              <w:jc w:val="center"/>
              <w:textAlignment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E33B">
            <w:pPr>
              <w:keepNext w:val="0"/>
              <w:keepLines w:val="0"/>
              <w:suppressLineNumbers w:val="0"/>
              <w:spacing w:before="0" w:beforeAutospacing="0" w:after="160" w:afterAutospacing="0" w:line="276" w:lineRule="auto"/>
              <w:ind w:left="0" w:right="0"/>
              <w:jc w:val="center"/>
              <w:textAlignment w:val="center"/>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17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DD88">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p>
        </w:tc>
        <w:tc>
          <w:tcPr>
            <w:tcW w:w="1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271F">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p>
        </w:tc>
        <w:tc>
          <w:tcPr>
            <w:tcW w:w="1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7EDD">
            <w:pPr>
              <w:keepNext w:val="0"/>
              <w:keepLines w:val="0"/>
              <w:suppressLineNumbers w:val="0"/>
              <w:spacing w:before="0" w:beforeAutospacing="0" w:after="160" w:afterAutospacing="0" w:line="240" w:lineRule="auto"/>
              <w:ind w:left="0" w:right="0"/>
              <w:jc w:val="left"/>
              <w:textAlignment w:val="center"/>
              <w:rPr>
                <w:rFonts w:hint="eastAsia" w:ascii="仿宋_GB2312" w:hAnsi="仿宋_GB2312" w:eastAsia="仿宋_GB2312" w:cs="仿宋_GB2312"/>
                <w:kern w:val="0"/>
                <w:sz w:val="24"/>
                <w:highlight w:val="none"/>
                <w:lang w:val="en-US" w:eastAsia="zh-CN"/>
              </w:rPr>
            </w:pPr>
          </w:p>
        </w:tc>
      </w:tr>
    </w:tbl>
    <w:p w14:paraId="6D8A2FAB">
      <w:pPr>
        <w:rPr>
          <w:rFonts w:ascii="Times New Roman" w:hAnsi="Times New Roman" w:eastAsia="方正仿宋_GB2312" w:cs="Times New Roman"/>
          <w:sz w:val="32"/>
          <w:szCs w:val="32"/>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58DCB6-E016-4593-8102-6788B800AA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2" w:fontKey="{554F3985-A338-44F5-9525-CD735F8A61B5}"/>
  </w:font>
  <w:font w:name="仿宋_GB2312">
    <w:panose1 w:val="02010609030101010101"/>
    <w:charset w:val="86"/>
    <w:family w:val="modern"/>
    <w:pitch w:val="default"/>
    <w:sig w:usb0="00000001" w:usb1="080E0000" w:usb2="00000000" w:usb3="00000000" w:csb0="00040000" w:csb1="00000000"/>
    <w:embedRegular r:id="rId3" w:fontKey="{E15D06F4-7822-4AD2-A315-6EB9EA7EF0A1}"/>
  </w:font>
  <w:font w:name="方正仿宋_GB2312">
    <w:panose1 w:val="02000000000000000000"/>
    <w:charset w:val="86"/>
    <w:family w:val="auto"/>
    <w:pitch w:val="default"/>
    <w:sig w:usb0="A00002BF" w:usb1="184F6CFA" w:usb2="00000012" w:usb3="00000000" w:csb0="00040001" w:csb1="00000000"/>
    <w:embedRegular r:id="rId4" w:fontKey="{880BE3AD-AC8F-44DB-8188-4C9559EF63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664B6"/>
    <w:rsid w:val="01EB699E"/>
    <w:rsid w:val="1B502896"/>
    <w:rsid w:val="1EE54CE0"/>
    <w:rsid w:val="2E262558"/>
    <w:rsid w:val="399E5818"/>
    <w:rsid w:val="3D16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2541</Words>
  <Characters>2894</Characters>
  <Lines>0</Lines>
  <Paragraphs>0</Paragraphs>
  <TotalTime>0</TotalTime>
  <ScaleCrop>false</ScaleCrop>
  <LinksUpToDate>false</LinksUpToDate>
  <CharactersWithSpaces>2910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2025-07-01T03:18:00Z</dcterms:created>
  <dc:creator>王志龙</dc:creator>
  <cp:lastModifiedBy>王志龙</cp:lastModifiedBy>
  <dcterms:modified xsi:type="dcterms:W3CDTF">2025-07-01T07:35:31Z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C655C42C334D47679E66EA10E37DEBC0_11</vt:lpwstr>
  </property>
  <property fmtid="{D5CDD505-2E9C-101B-9397-08002B2CF9AE}" pid="4" name="KSOTemplateDocerSaveRecord">
    <vt:lpwstr>eyJoZGlkIjoiNWU3NmQ5NDNmZDE1NzYxMWFlYTA5MjVlMjUxNmRiYTUiLCJ1c2VySWQiOiI0Nzk2Mjg1NzIifQ==</vt:lpwstr>
  </property>
</Properties>
</file>